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28CE4" w14:textId="77777777" w:rsidR="00D23FD3" w:rsidRDefault="00D23FD3" w:rsidP="00D23FD3">
      <w:pPr>
        <w:adjustRightInd w:val="0"/>
        <w:snapToGrid w:val="0"/>
        <w:spacing w:line="300" w:lineRule="auto"/>
        <w:rPr>
          <w:rFonts w:ascii="Times New Roman" w:eastAsia="宋体" w:hAnsi="Times New Roman" w:cs="Times New Roman"/>
          <w:b/>
          <w:bCs/>
          <w:sz w:val="32"/>
          <w:szCs w:val="32"/>
        </w:rPr>
      </w:pPr>
      <w:r w:rsidRPr="00740502">
        <w:rPr>
          <w:rFonts w:ascii="Times New Roman" w:eastAsia="宋体" w:hAnsi="Times New Roman" w:cs="Times New Roman"/>
          <w:b/>
          <w:bCs/>
          <w:sz w:val="32"/>
          <w:szCs w:val="32"/>
        </w:rPr>
        <w:t xml:space="preserve">Prospective Metabolomics Profiling Reveals </w:t>
      </w:r>
      <w:r w:rsidRPr="00BB0382">
        <w:rPr>
          <w:rFonts w:ascii="Times New Roman" w:eastAsia="宋体" w:hAnsi="Times New Roman" w:cs="Times New Roman" w:hint="eastAsia"/>
          <w:b/>
          <w:bCs/>
          <w:sz w:val="32"/>
          <w:szCs w:val="32"/>
        </w:rPr>
        <w:t>Pre-Diagnostic</w:t>
      </w:r>
      <w:r w:rsidRPr="00BB0382">
        <w:rPr>
          <w:rFonts w:ascii="Times New Roman" w:eastAsia="宋体" w:hAnsi="Times New Roman" w:cs="Times New Roman"/>
          <w:b/>
          <w:bCs/>
          <w:sz w:val="32"/>
          <w:szCs w:val="32"/>
        </w:rPr>
        <w:t xml:space="preserve"> </w:t>
      </w:r>
      <w:r w:rsidRPr="00740502">
        <w:rPr>
          <w:rFonts w:ascii="Times New Roman" w:eastAsia="宋体" w:hAnsi="Times New Roman" w:cs="Times New Roman"/>
          <w:b/>
          <w:bCs/>
          <w:sz w:val="32"/>
          <w:szCs w:val="32"/>
        </w:rPr>
        <w:t>Metabolic Alterations</w:t>
      </w:r>
      <w:r>
        <w:rPr>
          <w:rFonts w:ascii="Times New Roman" w:eastAsia="宋体" w:hAnsi="Times New Roman" w:cs="Times New Roman" w:hint="eastAsia"/>
          <w:b/>
          <w:bCs/>
          <w:sz w:val="32"/>
          <w:szCs w:val="32"/>
        </w:rPr>
        <w:t xml:space="preserve"> in</w:t>
      </w:r>
      <w:r w:rsidRPr="00740502">
        <w:rPr>
          <w:rFonts w:ascii="Times New Roman" w:eastAsia="宋体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z w:val="32"/>
          <w:szCs w:val="32"/>
        </w:rPr>
        <w:t>Ischemic</w:t>
      </w:r>
      <w:r w:rsidRPr="00740502">
        <w:rPr>
          <w:rFonts w:ascii="Times New Roman" w:eastAsia="宋体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z w:val="32"/>
          <w:szCs w:val="32"/>
        </w:rPr>
        <w:t xml:space="preserve">Stroke </w:t>
      </w:r>
      <w:r w:rsidRPr="00740502">
        <w:rPr>
          <w:rFonts w:ascii="Times New Roman" w:eastAsia="宋体" w:hAnsi="Times New Roman" w:cs="Times New Roman"/>
          <w:b/>
          <w:bCs/>
          <w:sz w:val="32"/>
          <w:szCs w:val="32"/>
        </w:rPr>
        <w:t>among</w:t>
      </w:r>
      <w:r>
        <w:rPr>
          <w:rFonts w:ascii="Times New Roman" w:eastAsia="宋体" w:hAnsi="Times New Roman" w:cs="Times New Roman" w:hint="eastAsia"/>
          <w:b/>
          <w:bCs/>
          <w:sz w:val="32"/>
          <w:szCs w:val="32"/>
        </w:rPr>
        <w:t xml:space="preserve"> </w:t>
      </w:r>
      <w:r w:rsidRPr="00740502">
        <w:rPr>
          <w:rFonts w:ascii="Times New Roman" w:eastAsia="宋体" w:hAnsi="Times New Roman" w:cs="Times New Roman"/>
          <w:b/>
          <w:bCs/>
          <w:sz w:val="32"/>
          <w:szCs w:val="32"/>
        </w:rPr>
        <w:t>Chinese Community Residents: A Nested</w:t>
      </w:r>
      <w:r>
        <w:rPr>
          <w:rFonts w:ascii="Times New Roman" w:eastAsia="宋体" w:hAnsi="Times New Roman" w:cs="Times New Roman" w:hint="eastAsia"/>
          <w:b/>
          <w:bCs/>
          <w:sz w:val="32"/>
          <w:szCs w:val="32"/>
        </w:rPr>
        <w:t xml:space="preserve"> </w:t>
      </w:r>
      <w:r w:rsidRPr="00740502">
        <w:rPr>
          <w:rFonts w:ascii="Times New Roman" w:eastAsia="宋体" w:hAnsi="Times New Roman" w:cs="Times New Roman"/>
          <w:b/>
          <w:bCs/>
          <w:sz w:val="32"/>
          <w:szCs w:val="32"/>
        </w:rPr>
        <w:t>Case-Control Study</w:t>
      </w:r>
    </w:p>
    <w:p w14:paraId="4273FAF8" w14:textId="35DA634D" w:rsidR="00D23FD3" w:rsidRPr="0021075D" w:rsidRDefault="00D23FD3" w:rsidP="00D23FD3">
      <w:pPr>
        <w:adjustRightInd w:val="0"/>
        <w:snapToGrid w:val="0"/>
        <w:spacing w:line="300" w:lineRule="auto"/>
        <w:rPr>
          <w:rFonts w:ascii="Times New Roman" w:hAnsi="Times New Roman" w:cs="Times New Roman"/>
          <w:b/>
          <w:bCs/>
          <w:color w:val="000000"/>
          <w:sz w:val="22"/>
        </w:rPr>
      </w:pPr>
      <w:r w:rsidRPr="0021075D">
        <w:rPr>
          <w:rFonts w:ascii="Times New Roman" w:hAnsi="Times New Roman" w:cs="Times New Roman"/>
          <w:b/>
          <w:bCs/>
          <w:color w:val="000000"/>
          <w:sz w:val="22"/>
        </w:rPr>
        <w:t>Liping Yi</w:t>
      </w:r>
      <w:r>
        <w:rPr>
          <w:rFonts w:ascii="Times New Roman" w:hAnsi="Times New Roman" w:cs="Times New Roman" w:hint="eastAsia"/>
          <w:b/>
          <w:bCs/>
          <w:color w:val="000000"/>
          <w:sz w:val="22"/>
        </w:rPr>
        <w:t xml:space="preserve"> </w:t>
      </w:r>
      <w:r w:rsidRPr="00DA7536">
        <w:rPr>
          <w:rFonts w:ascii="Times New Roman" w:hAnsi="Times New Roman" w:cs="Times New Roman" w:hint="eastAsia"/>
          <w:b/>
          <w:bCs/>
          <w:color w:val="000000"/>
          <w:sz w:val="22"/>
          <w:vertAlign w:val="superscript"/>
        </w:rPr>
        <w:t>a,</w:t>
      </w:r>
      <w:r>
        <w:rPr>
          <w:rFonts w:ascii="Times New Roman" w:hAnsi="Times New Roman" w:cs="Times New Roman" w:hint="eastAsia"/>
          <w:b/>
          <w:bCs/>
          <w:color w:val="000000"/>
          <w:sz w:val="22"/>
          <w:vertAlign w:val="superscript"/>
        </w:rPr>
        <w:t xml:space="preserve"> </w:t>
      </w:r>
      <w:r w:rsidRPr="00DA7536">
        <w:rPr>
          <w:rFonts w:ascii="Times New Roman" w:hAnsi="Times New Roman" w:cs="Times New Roman" w:hint="eastAsia"/>
          <w:b/>
          <w:bCs/>
          <w:color w:val="000000"/>
          <w:sz w:val="22"/>
          <w:vertAlign w:val="superscript"/>
        </w:rPr>
        <w:t>1</w:t>
      </w:r>
      <w:r w:rsidRPr="0021075D">
        <w:rPr>
          <w:rFonts w:ascii="Times New Roman" w:hAnsi="Times New Roman" w:cs="Times New Roman"/>
          <w:b/>
          <w:bCs/>
          <w:color w:val="000000"/>
          <w:sz w:val="22"/>
        </w:rPr>
        <w:t>, Shuheng Cui</w:t>
      </w:r>
      <w:r>
        <w:rPr>
          <w:rFonts w:ascii="Times New Roman" w:hAnsi="Times New Roman" w:cs="Times New Roman" w:hint="eastAsia"/>
          <w:b/>
          <w:bCs/>
          <w:color w:val="000000"/>
          <w:sz w:val="22"/>
        </w:rPr>
        <w:t xml:space="preserve"> </w:t>
      </w:r>
      <w:r w:rsidRPr="00527611">
        <w:rPr>
          <w:rFonts w:ascii="Times New Roman" w:hAnsi="Times New Roman" w:cs="Times New Roman" w:hint="eastAsia"/>
          <w:b/>
          <w:bCs/>
          <w:color w:val="000000"/>
          <w:sz w:val="22"/>
          <w:vertAlign w:val="superscript"/>
        </w:rPr>
        <w:t>a</w:t>
      </w:r>
      <w:r>
        <w:rPr>
          <w:rFonts w:ascii="Times New Roman" w:hAnsi="Times New Roman" w:cs="Times New Roman" w:hint="eastAsia"/>
          <w:b/>
          <w:bCs/>
          <w:color w:val="000000"/>
          <w:sz w:val="22"/>
          <w:vertAlign w:val="superscript"/>
        </w:rPr>
        <w:t xml:space="preserve">, </w:t>
      </w:r>
      <w:r w:rsidR="0094693A">
        <w:rPr>
          <w:rFonts w:ascii="Times New Roman" w:hAnsi="Times New Roman" w:cs="Times New Roman" w:hint="eastAsia"/>
          <w:b/>
          <w:bCs/>
          <w:color w:val="000000"/>
          <w:sz w:val="22"/>
          <w:vertAlign w:val="superscript"/>
        </w:rPr>
        <w:t xml:space="preserve">b, </w:t>
      </w:r>
      <w:r w:rsidRPr="00527611">
        <w:rPr>
          <w:rFonts w:ascii="Times New Roman" w:hAnsi="Times New Roman" w:cs="Times New Roman" w:hint="eastAsia"/>
          <w:b/>
          <w:bCs/>
          <w:color w:val="000000"/>
          <w:sz w:val="22"/>
          <w:vertAlign w:val="superscript"/>
        </w:rPr>
        <w:t>1</w:t>
      </w:r>
      <w:r w:rsidRPr="0021075D">
        <w:rPr>
          <w:rFonts w:ascii="Times New Roman" w:hAnsi="Times New Roman" w:cs="Times New Roman"/>
          <w:b/>
          <w:bCs/>
          <w:color w:val="000000"/>
          <w:sz w:val="22"/>
        </w:rPr>
        <w:t>, Yu Xiang</w:t>
      </w:r>
      <w:r>
        <w:rPr>
          <w:rFonts w:ascii="Times New Roman" w:hAnsi="Times New Roman" w:cs="Times New Roman" w:hint="eastAsia"/>
          <w:b/>
          <w:bCs/>
          <w:color w:val="000000"/>
          <w:sz w:val="22"/>
        </w:rPr>
        <w:t xml:space="preserve"> </w:t>
      </w:r>
      <w:r w:rsidRPr="00527611">
        <w:rPr>
          <w:rFonts w:ascii="Times New Roman" w:hAnsi="Times New Roman" w:cs="Times New Roman" w:hint="eastAsia"/>
          <w:b/>
          <w:bCs/>
          <w:color w:val="000000"/>
          <w:sz w:val="22"/>
          <w:vertAlign w:val="superscript"/>
        </w:rPr>
        <w:t>a,</w:t>
      </w:r>
      <w:r>
        <w:rPr>
          <w:rFonts w:ascii="Times New Roman" w:hAnsi="Times New Roman" w:cs="Times New Roman" w:hint="eastAsia"/>
          <w:b/>
          <w:bCs/>
          <w:color w:val="000000"/>
          <w:sz w:val="22"/>
          <w:vertAlign w:val="superscript"/>
        </w:rPr>
        <w:t xml:space="preserve"> </w:t>
      </w:r>
      <w:r w:rsidR="0094693A">
        <w:rPr>
          <w:rFonts w:ascii="Times New Roman" w:hAnsi="Times New Roman" w:cs="Times New Roman" w:hint="eastAsia"/>
          <w:b/>
          <w:bCs/>
          <w:color w:val="000000"/>
          <w:sz w:val="22"/>
          <w:vertAlign w:val="superscript"/>
        </w:rPr>
        <w:t xml:space="preserve">c, </w:t>
      </w:r>
      <w:r w:rsidRPr="00527611">
        <w:rPr>
          <w:rFonts w:ascii="Times New Roman" w:hAnsi="Times New Roman" w:cs="Times New Roman" w:hint="eastAsia"/>
          <w:b/>
          <w:bCs/>
          <w:color w:val="000000"/>
          <w:sz w:val="22"/>
          <w:vertAlign w:val="superscript"/>
        </w:rPr>
        <w:t>1</w:t>
      </w:r>
      <w:r w:rsidRPr="0021075D">
        <w:rPr>
          <w:rFonts w:ascii="Times New Roman" w:hAnsi="Times New Roman" w:cs="Times New Roman"/>
          <w:b/>
          <w:bCs/>
          <w:color w:val="000000"/>
          <w:sz w:val="22"/>
        </w:rPr>
        <w:t xml:space="preserve">, </w:t>
      </w:r>
      <w:r w:rsidRPr="0007247D">
        <w:rPr>
          <w:rFonts w:ascii="Times New Roman" w:hAnsi="Times New Roman" w:cs="Times New Roman"/>
          <w:b/>
          <w:bCs/>
          <w:color w:val="000000"/>
          <w:sz w:val="22"/>
        </w:rPr>
        <w:t>Xing Liu</w:t>
      </w:r>
      <w:r>
        <w:rPr>
          <w:rFonts w:ascii="Times New Roman" w:hAnsi="Times New Roman" w:cs="Times New Roman" w:hint="eastAsia"/>
          <w:b/>
          <w:bCs/>
          <w:color w:val="000000"/>
          <w:sz w:val="22"/>
        </w:rPr>
        <w:t xml:space="preserve"> </w:t>
      </w:r>
      <w:r w:rsidR="00AC343F">
        <w:rPr>
          <w:rFonts w:ascii="Times New Roman" w:hAnsi="Times New Roman" w:cs="Times New Roman" w:hint="eastAsia"/>
          <w:b/>
          <w:bCs/>
          <w:color w:val="000000"/>
          <w:sz w:val="22"/>
          <w:vertAlign w:val="superscript"/>
        </w:rPr>
        <w:t>a</w:t>
      </w:r>
      <w:r>
        <w:rPr>
          <w:rFonts w:ascii="Times New Roman" w:hAnsi="Times New Roman" w:cs="Times New Roman" w:hint="eastAsia"/>
          <w:b/>
          <w:bCs/>
          <w:color w:val="000000"/>
          <w:sz w:val="22"/>
        </w:rPr>
        <w:t>,</w:t>
      </w:r>
      <w:r w:rsidRPr="0007247D">
        <w:rPr>
          <w:rFonts w:ascii="Times New Roman" w:hAnsi="Times New Roman" w:cs="Times New Roman"/>
          <w:b/>
          <w:bCs/>
          <w:color w:val="000000"/>
          <w:sz w:val="22"/>
        </w:rPr>
        <w:t xml:space="preserve"> </w:t>
      </w:r>
      <w:proofErr w:type="spellStart"/>
      <w:r w:rsidRPr="0021075D">
        <w:rPr>
          <w:rFonts w:ascii="Times New Roman" w:hAnsi="Times New Roman" w:cs="Times New Roman"/>
          <w:b/>
          <w:bCs/>
          <w:color w:val="000000"/>
          <w:sz w:val="22"/>
        </w:rPr>
        <w:t>Yiling</w:t>
      </w:r>
      <w:proofErr w:type="spellEnd"/>
      <w:r w:rsidRPr="0021075D">
        <w:rPr>
          <w:rFonts w:ascii="Times New Roman" w:hAnsi="Times New Roman" w:cs="Times New Roman"/>
          <w:b/>
          <w:bCs/>
          <w:color w:val="000000"/>
          <w:sz w:val="22"/>
        </w:rPr>
        <w:t xml:space="preserve"> Wu</w:t>
      </w:r>
      <w:r>
        <w:rPr>
          <w:rFonts w:ascii="Times New Roman" w:hAnsi="Times New Roman" w:cs="Times New Roman" w:hint="eastAsia"/>
          <w:b/>
          <w:bCs/>
          <w:color w:val="000000"/>
          <w:sz w:val="22"/>
        </w:rPr>
        <w:t xml:space="preserve"> </w:t>
      </w:r>
      <w:r w:rsidR="004F7001">
        <w:rPr>
          <w:rFonts w:ascii="Times New Roman" w:hAnsi="Times New Roman" w:cs="Times New Roman" w:hint="eastAsia"/>
          <w:b/>
          <w:bCs/>
          <w:color w:val="000000"/>
          <w:sz w:val="22"/>
          <w:vertAlign w:val="superscript"/>
        </w:rPr>
        <w:t>d</w:t>
      </w:r>
      <w:r w:rsidRPr="0021075D">
        <w:rPr>
          <w:rFonts w:ascii="Times New Roman" w:hAnsi="Times New Roman" w:cs="Times New Roman"/>
          <w:b/>
          <w:bCs/>
          <w:color w:val="000000"/>
          <w:sz w:val="22"/>
        </w:rPr>
        <w:t xml:space="preserve">, </w:t>
      </w:r>
      <w:proofErr w:type="spellStart"/>
      <w:r w:rsidRPr="0021075D">
        <w:rPr>
          <w:rFonts w:ascii="Times New Roman" w:hAnsi="Times New Roman" w:cs="Times New Roman"/>
          <w:b/>
          <w:bCs/>
          <w:color w:val="000000"/>
          <w:sz w:val="22"/>
        </w:rPr>
        <w:t>Yonggen</w:t>
      </w:r>
      <w:proofErr w:type="spellEnd"/>
      <w:r w:rsidRPr="0021075D">
        <w:rPr>
          <w:rFonts w:ascii="Times New Roman" w:hAnsi="Times New Roman" w:cs="Times New Roman"/>
          <w:b/>
          <w:bCs/>
          <w:color w:val="000000"/>
          <w:sz w:val="22"/>
        </w:rPr>
        <w:t xml:space="preserve"> Jiang</w:t>
      </w:r>
      <w:r>
        <w:rPr>
          <w:rFonts w:ascii="Times New Roman" w:hAnsi="Times New Roman" w:cs="Times New Roman" w:hint="eastAsia"/>
          <w:b/>
          <w:bCs/>
          <w:color w:val="000000"/>
          <w:sz w:val="22"/>
        </w:rPr>
        <w:t xml:space="preserve"> </w:t>
      </w:r>
      <w:r w:rsidR="004F7001">
        <w:rPr>
          <w:rFonts w:ascii="Times New Roman" w:hAnsi="Times New Roman" w:cs="Times New Roman" w:hint="eastAsia"/>
          <w:b/>
          <w:bCs/>
          <w:color w:val="000000"/>
          <w:sz w:val="22"/>
          <w:vertAlign w:val="superscript"/>
        </w:rPr>
        <w:t>d</w:t>
      </w:r>
      <w:r w:rsidRPr="0021075D">
        <w:rPr>
          <w:rFonts w:ascii="Times New Roman" w:hAnsi="Times New Roman" w:cs="Times New Roman"/>
          <w:b/>
          <w:bCs/>
          <w:color w:val="000000"/>
          <w:sz w:val="22"/>
        </w:rPr>
        <w:t xml:space="preserve">, </w:t>
      </w:r>
      <w:proofErr w:type="spellStart"/>
      <w:r w:rsidRPr="0021075D">
        <w:rPr>
          <w:rFonts w:ascii="Times New Roman" w:hAnsi="Times New Roman" w:cs="Times New Roman"/>
          <w:b/>
          <w:bCs/>
          <w:color w:val="000000"/>
          <w:sz w:val="22"/>
        </w:rPr>
        <w:t>Genming</w:t>
      </w:r>
      <w:proofErr w:type="spellEnd"/>
      <w:r w:rsidRPr="0021075D">
        <w:rPr>
          <w:rFonts w:ascii="Times New Roman" w:hAnsi="Times New Roman" w:cs="Times New Roman"/>
          <w:b/>
          <w:bCs/>
          <w:color w:val="000000"/>
          <w:sz w:val="22"/>
        </w:rPr>
        <w:t xml:space="preserve"> Zhao</w:t>
      </w:r>
      <w:r>
        <w:rPr>
          <w:rFonts w:ascii="Times New Roman" w:hAnsi="Times New Roman" w:cs="Times New Roman" w:hint="eastAsia"/>
          <w:b/>
          <w:bCs/>
          <w:color w:val="000000"/>
          <w:sz w:val="22"/>
        </w:rPr>
        <w:t xml:space="preserve"> </w:t>
      </w:r>
      <w:r>
        <w:rPr>
          <w:rFonts w:ascii="Times New Roman" w:hAnsi="Times New Roman" w:cs="Times New Roman" w:hint="eastAsia"/>
          <w:b/>
          <w:bCs/>
          <w:color w:val="000000"/>
          <w:sz w:val="22"/>
          <w:vertAlign w:val="superscript"/>
        </w:rPr>
        <w:t>a, *</w:t>
      </w:r>
    </w:p>
    <w:p w14:paraId="766FC466" w14:textId="76141592" w:rsidR="00D23FD3" w:rsidRPr="005A2EB5" w:rsidRDefault="00D23FD3" w:rsidP="00D23FD3">
      <w:pPr>
        <w:widowControl/>
        <w:adjustRightInd w:val="0"/>
        <w:snapToGrid w:val="0"/>
        <w:spacing w:line="300" w:lineRule="auto"/>
        <w:rPr>
          <w:rFonts w:ascii="Times New Roman" w:eastAsia="宋体" w:hAnsi="Times New Roman" w:cs="Times New Roman"/>
          <w:color w:val="000000"/>
          <w:kern w:val="0"/>
          <w:sz w:val="22"/>
          <w:vertAlign w:val="superscript"/>
        </w:rPr>
      </w:pPr>
      <w:r w:rsidRPr="005A2EB5">
        <w:rPr>
          <w:rFonts w:ascii="Times New Roman" w:eastAsia="宋体" w:hAnsi="Times New Roman" w:cs="Times New Roman" w:hint="eastAsia"/>
          <w:color w:val="000000"/>
          <w:kern w:val="0"/>
          <w:sz w:val="22"/>
          <w:vertAlign w:val="superscript"/>
        </w:rPr>
        <w:t>a</w:t>
      </w:r>
      <w:r w:rsidRPr="00944851">
        <w:rPr>
          <w:rFonts w:ascii="Times New Roman" w:eastAsia="宋体" w:hAnsi="Times New Roman" w:cs="Times New Roman" w:hint="eastAsia"/>
          <w:color w:val="000000"/>
          <w:kern w:val="0"/>
          <w:sz w:val="22"/>
          <w:vertAlign w:val="superscript"/>
        </w:rPr>
        <w:t xml:space="preserve"> </w:t>
      </w:r>
      <w:r w:rsidRPr="00C62AAA">
        <w:rPr>
          <w:rFonts w:ascii="Times New Roman" w:eastAsia="宋体" w:hAnsi="Times New Roman" w:cs="Times New Roman"/>
          <w:color w:val="000000"/>
          <w:kern w:val="0"/>
          <w:sz w:val="22"/>
        </w:rPr>
        <w:t>Key Laboratory of Public Health Safety of Ministry of Education, Department of</w:t>
      </w:r>
      <w:r>
        <w:rPr>
          <w:rFonts w:ascii="Times New Roman" w:eastAsia="宋体" w:hAnsi="Times New Roman" w:cs="Times New Roman" w:hint="eastAsia"/>
          <w:color w:val="000000"/>
          <w:kern w:val="0"/>
          <w:sz w:val="22"/>
        </w:rPr>
        <w:t xml:space="preserve"> </w:t>
      </w:r>
      <w:r w:rsidRPr="00C62AAA">
        <w:rPr>
          <w:rFonts w:ascii="Times New Roman" w:eastAsia="宋体" w:hAnsi="Times New Roman" w:cs="Times New Roman"/>
          <w:color w:val="000000"/>
          <w:kern w:val="0"/>
          <w:sz w:val="22"/>
        </w:rPr>
        <w:t>Epidemiology, School of Public Health, Fudan University, Shanghai</w:t>
      </w:r>
      <w:r w:rsidR="000D1DF5">
        <w:rPr>
          <w:rFonts w:ascii="Times New Roman" w:eastAsia="宋体" w:hAnsi="Times New Roman" w:cs="Times New Roman" w:hint="eastAsia"/>
          <w:color w:val="000000"/>
          <w:kern w:val="0"/>
          <w:sz w:val="22"/>
        </w:rPr>
        <w:t xml:space="preserve"> 200032</w:t>
      </w:r>
      <w:r w:rsidRPr="00C62AAA">
        <w:rPr>
          <w:rFonts w:ascii="Times New Roman" w:eastAsia="宋体" w:hAnsi="Times New Roman" w:cs="Times New Roman"/>
          <w:color w:val="000000"/>
          <w:kern w:val="0"/>
          <w:sz w:val="22"/>
        </w:rPr>
        <w:t>, China</w:t>
      </w:r>
    </w:p>
    <w:p w14:paraId="7079E40E" w14:textId="30918DDB" w:rsidR="004F7001" w:rsidRDefault="00D23FD3" w:rsidP="00D23FD3">
      <w:pPr>
        <w:adjustRightInd w:val="0"/>
        <w:snapToGrid w:val="0"/>
        <w:spacing w:line="300" w:lineRule="auto"/>
        <w:rPr>
          <w:rFonts w:ascii="Times New Roman" w:eastAsia="宋体" w:hAnsi="Times New Roman" w:cs="Times New Roman"/>
          <w:color w:val="000000"/>
          <w:kern w:val="0"/>
          <w:sz w:val="22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2"/>
          <w:vertAlign w:val="superscript"/>
        </w:rPr>
        <w:t>b</w:t>
      </w:r>
      <w:r>
        <w:rPr>
          <w:rFonts w:ascii="Times New Roman" w:eastAsia="宋体" w:hAnsi="Times New Roman" w:cs="Times New Roman" w:hint="eastAsia"/>
          <w:color w:val="000000"/>
          <w:kern w:val="0"/>
          <w:sz w:val="22"/>
        </w:rPr>
        <w:t xml:space="preserve"> </w:t>
      </w:r>
      <w:r w:rsidR="00296F9A" w:rsidRPr="00296F9A">
        <w:rPr>
          <w:rFonts w:ascii="Times New Roman" w:eastAsia="宋体" w:hAnsi="Times New Roman" w:cs="Times New Roman" w:hint="eastAsia"/>
          <w:color w:val="000000"/>
          <w:kern w:val="0"/>
          <w:sz w:val="22"/>
        </w:rPr>
        <w:t>School of Public Health, Shanghai Jiao Tong University, Shanghai</w:t>
      </w:r>
      <w:r w:rsidR="00296F9A">
        <w:rPr>
          <w:rFonts w:ascii="Times New Roman" w:eastAsia="宋体" w:hAnsi="Times New Roman" w:cs="Times New Roman" w:hint="eastAsia"/>
          <w:color w:val="000000"/>
          <w:kern w:val="0"/>
          <w:sz w:val="22"/>
        </w:rPr>
        <w:t xml:space="preserve"> </w:t>
      </w:r>
      <w:r w:rsidR="00296F9A" w:rsidRPr="00296F9A">
        <w:rPr>
          <w:rFonts w:ascii="Times New Roman" w:eastAsia="宋体" w:hAnsi="Times New Roman" w:cs="Times New Roman"/>
          <w:color w:val="000000"/>
          <w:kern w:val="0"/>
          <w:sz w:val="22"/>
        </w:rPr>
        <w:t>200025</w:t>
      </w:r>
      <w:r w:rsidR="00296F9A" w:rsidRPr="00296F9A">
        <w:rPr>
          <w:rFonts w:ascii="Times New Roman" w:eastAsia="宋体" w:hAnsi="Times New Roman" w:cs="Times New Roman" w:hint="eastAsia"/>
          <w:color w:val="000000"/>
          <w:kern w:val="0"/>
          <w:sz w:val="22"/>
        </w:rPr>
        <w:t>, China</w:t>
      </w:r>
    </w:p>
    <w:p w14:paraId="1D10B3A2" w14:textId="0ADE35C1" w:rsidR="004F7001" w:rsidRPr="004F7001" w:rsidRDefault="004F7001" w:rsidP="00D23FD3">
      <w:pPr>
        <w:adjustRightInd w:val="0"/>
        <w:snapToGrid w:val="0"/>
        <w:spacing w:line="300" w:lineRule="auto"/>
        <w:rPr>
          <w:rFonts w:ascii="Times New Roman" w:eastAsia="宋体" w:hAnsi="Times New Roman" w:cs="Times New Roman"/>
          <w:color w:val="000000"/>
          <w:kern w:val="0"/>
          <w:sz w:val="22"/>
          <w:vertAlign w:val="superscript"/>
        </w:rPr>
      </w:pPr>
      <w:r w:rsidRPr="004F7001">
        <w:rPr>
          <w:rFonts w:ascii="Times New Roman" w:eastAsia="宋体" w:hAnsi="Times New Roman" w:cs="Times New Roman" w:hint="eastAsia"/>
          <w:color w:val="000000"/>
          <w:kern w:val="0"/>
          <w:sz w:val="22"/>
          <w:vertAlign w:val="superscript"/>
        </w:rPr>
        <w:t xml:space="preserve">c </w:t>
      </w:r>
      <w:r w:rsidR="00296F9A" w:rsidRPr="00296F9A">
        <w:rPr>
          <w:rFonts w:ascii="Times New Roman" w:eastAsia="宋体" w:hAnsi="Times New Roman" w:cs="Times New Roman" w:hint="eastAsia"/>
          <w:color w:val="000000"/>
          <w:kern w:val="0"/>
          <w:sz w:val="22"/>
        </w:rPr>
        <w:t xml:space="preserve">Shanghai National Clinical Research Center for Metabolic Diseases, Key Laboratory for Endocrine and Metabolic Diseases of the National Health Commission, Shanghai National Center for Translational Medicine, </w:t>
      </w:r>
      <w:proofErr w:type="spellStart"/>
      <w:r w:rsidR="00296F9A" w:rsidRPr="00296F9A">
        <w:rPr>
          <w:rFonts w:ascii="Times New Roman" w:eastAsia="宋体" w:hAnsi="Times New Roman" w:cs="Times New Roman" w:hint="eastAsia"/>
          <w:color w:val="000000"/>
          <w:kern w:val="0"/>
          <w:sz w:val="22"/>
        </w:rPr>
        <w:t>Rui</w:t>
      </w:r>
      <w:r w:rsidR="00794623">
        <w:rPr>
          <w:rFonts w:ascii="Times New Roman" w:eastAsia="宋体" w:hAnsi="Times New Roman" w:cs="Times New Roman" w:hint="eastAsia"/>
          <w:color w:val="000000"/>
          <w:kern w:val="0"/>
          <w:sz w:val="22"/>
        </w:rPr>
        <w:t>j</w:t>
      </w:r>
      <w:r w:rsidR="00296F9A" w:rsidRPr="00296F9A">
        <w:rPr>
          <w:rFonts w:ascii="Times New Roman" w:eastAsia="宋体" w:hAnsi="Times New Roman" w:cs="Times New Roman" w:hint="eastAsia"/>
          <w:color w:val="000000"/>
          <w:kern w:val="0"/>
          <w:sz w:val="22"/>
        </w:rPr>
        <w:t>in</w:t>
      </w:r>
      <w:proofErr w:type="spellEnd"/>
      <w:r w:rsidR="00296F9A" w:rsidRPr="00296F9A">
        <w:rPr>
          <w:rFonts w:ascii="Times New Roman" w:eastAsia="宋体" w:hAnsi="Times New Roman" w:cs="Times New Roman" w:hint="eastAsia"/>
          <w:color w:val="000000"/>
          <w:kern w:val="0"/>
          <w:sz w:val="22"/>
        </w:rPr>
        <w:t xml:space="preserve"> Hospital, Shanghai </w:t>
      </w:r>
      <w:r w:rsidR="00794623" w:rsidRPr="00296F9A">
        <w:rPr>
          <w:rFonts w:ascii="Times New Roman" w:eastAsia="宋体" w:hAnsi="Times New Roman" w:cs="Times New Roman" w:hint="eastAsia"/>
          <w:color w:val="000000"/>
          <w:kern w:val="0"/>
          <w:sz w:val="22"/>
        </w:rPr>
        <w:t>Jiao Tong</w:t>
      </w:r>
      <w:r w:rsidR="00296F9A" w:rsidRPr="00296F9A">
        <w:rPr>
          <w:rFonts w:ascii="Times New Roman" w:eastAsia="宋体" w:hAnsi="Times New Roman" w:cs="Times New Roman" w:hint="eastAsia"/>
          <w:color w:val="000000"/>
          <w:kern w:val="0"/>
          <w:sz w:val="22"/>
        </w:rPr>
        <w:t xml:space="preserve"> University School of Medicine, Shanghai</w:t>
      </w:r>
      <w:r w:rsidR="00F95695">
        <w:rPr>
          <w:rFonts w:ascii="Times New Roman" w:eastAsia="宋体" w:hAnsi="Times New Roman" w:cs="Times New Roman" w:hint="eastAsia"/>
          <w:color w:val="000000"/>
          <w:kern w:val="0"/>
          <w:sz w:val="22"/>
        </w:rPr>
        <w:t xml:space="preserve"> </w:t>
      </w:r>
      <w:r w:rsidR="00F95695" w:rsidRPr="00296F9A">
        <w:rPr>
          <w:rFonts w:ascii="Times New Roman" w:eastAsia="宋体" w:hAnsi="Times New Roman" w:cs="Times New Roman"/>
          <w:color w:val="000000"/>
          <w:kern w:val="0"/>
          <w:sz w:val="22"/>
        </w:rPr>
        <w:t>200025</w:t>
      </w:r>
      <w:r w:rsidR="00296F9A" w:rsidRPr="00296F9A">
        <w:rPr>
          <w:rFonts w:ascii="Times New Roman" w:eastAsia="宋体" w:hAnsi="Times New Roman" w:cs="Times New Roman" w:hint="eastAsia"/>
          <w:color w:val="000000"/>
          <w:kern w:val="0"/>
          <w:sz w:val="22"/>
        </w:rPr>
        <w:t>, China</w:t>
      </w:r>
    </w:p>
    <w:p w14:paraId="38CE61C2" w14:textId="12331105" w:rsidR="00D23FD3" w:rsidRDefault="004F7001" w:rsidP="00D23FD3">
      <w:pPr>
        <w:adjustRightInd w:val="0"/>
        <w:snapToGrid w:val="0"/>
        <w:spacing w:line="300" w:lineRule="auto"/>
        <w:rPr>
          <w:rFonts w:ascii="Times New Roman" w:eastAsia="宋体" w:hAnsi="Times New Roman" w:cs="Times New Roman"/>
          <w:color w:val="000000"/>
          <w:kern w:val="0"/>
          <w:sz w:val="22"/>
        </w:rPr>
      </w:pPr>
      <w:r w:rsidRPr="004F7001">
        <w:rPr>
          <w:rFonts w:ascii="Times New Roman" w:eastAsia="宋体" w:hAnsi="Times New Roman" w:cs="Times New Roman" w:hint="eastAsia"/>
          <w:color w:val="000000"/>
          <w:kern w:val="0"/>
          <w:sz w:val="22"/>
          <w:vertAlign w:val="superscript"/>
        </w:rPr>
        <w:t>d</w:t>
      </w:r>
      <w:r>
        <w:rPr>
          <w:rFonts w:ascii="Times New Roman" w:eastAsia="宋体" w:hAnsi="Times New Roman" w:cs="Times New Roman" w:hint="eastAsia"/>
          <w:color w:val="000000"/>
          <w:kern w:val="0"/>
          <w:sz w:val="22"/>
        </w:rPr>
        <w:t xml:space="preserve"> </w:t>
      </w:r>
      <w:r w:rsidR="00D23FD3" w:rsidRPr="0021075D">
        <w:rPr>
          <w:rFonts w:ascii="Times New Roman" w:eastAsia="宋体" w:hAnsi="Times New Roman" w:cs="Times New Roman"/>
          <w:color w:val="000000"/>
          <w:kern w:val="0"/>
          <w:sz w:val="22"/>
        </w:rPr>
        <w:t>Songjiang District Center for Disease Control and Prevention, Shanghai</w:t>
      </w:r>
      <w:r w:rsidR="00556144">
        <w:rPr>
          <w:rFonts w:ascii="Times New Roman" w:eastAsia="宋体" w:hAnsi="Times New Roman" w:cs="Times New Roman" w:hint="eastAsia"/>
          <w:color w:val="000000"/>
          <w:kern w:val="0"/>
          <w:sz w:val="22"/>
        </w:rPr>
        <w:t xml:space="preserve"> 201600</w:t>
      </w:r>
      <w:r w:rsidR="00D23FD3" w:rsidRPr="0021075D">
        <w:rPr>
          <w:rFonts w:ascii="Times New Roman" w:eastAsia="宋体" w:hAnsi="Times New Roman" w:cs="Times New Roman"/>
          <w:color w:val="000000"/>
          <w:kern w:val="0"/>
          <w:sz w:val="22"/>
        </w:rPr>
        <w:t>, China</w:t>
      </w:r>
    </w:p>
    <w:p w14:paraId="60892E1C" w14:textId="77777777" w:rsidR="00D23FD3" w:rsidRDefault="00D23FD3" w:rsidP="00D23FD3">
      <w:pPr>
        <w:adjustRightInd w:val="0"/>
        <w:snapToGrid w:val="0"/>
        <w:spacing w:line="300" w:lineRule="auto"/>
        <w:rPr>
          <w:rFonts w:ascii="Times New Roman" w:eastAsia="宋体" w:hAnsi="Times New Roman" w:cs="Times New Roman"/>
          <w:color w:val="000000"/>
          <w:kern w:val="0"/>
          <w:sz w:val="22"/>
        </w:rPr>
      </w:pPr>
      <w:r w:rsidRPr="00D12070">
        <w:rPr>
          <w:rFonts w:ascii="Times New Roman" w:eastAsia="宋体" w:hAnsi="Times New Roman" w:cs="Times New Roman" w:hint="eastAsia"/>
          <w:color w:val="000000"/>
          <w:kern w:val="0"/>
          <w:sz w:val="22"/>
          <w:vertAlign w:val="superscript"/>
        </w:rPr>
        <w:t>*</w:t>
      </w:r>
      <w:r>
        <w:rPr>
          <w:rFonts w:ascii="Times New Roman" w:eastAsia="宋体" w:hAnsi="Times New Roman" w:cs="Times New Roman" w:hint="eastAsia"/>
          <w:color w:val="000000"/>
          <w:kern w:val="0"/>
          <w:sz w:val="22"/>
        </w:rPr>
        <w:t xml:space="preserve"> </w:t>
      </w:r>
      <w:r w:rsidRPr="009F30A0">
        <w:rPr>
          <w:rFonts w:ascii="Times New Roman" w:eastAsia="宋体" w:hAnsi="Times New Roman" w:cs="Times New Roman" w:hint="eastAsia"/>
          <w:color w:val="000000"/>
          <w:kern w:val="0"/>
          <w:sz w:val="22"/>
        </w:rPr>
        <w:t>Correspondence: gmzhao@shmu.edu.cn (</w:t>
      </w:r>
      <w:proofErr w:type="spellStart"/>
      <w:r w:rsidRPr="009322F7">
        <w:rPr>
          <w:rFonts w:ascii="Times New Roman" w:hAnsi="Times New Roman" w:cs="Times New Roman"/>
          <w:color w:val="000000"/>
          <w:sz w:val="22"/>
        </w:rPr>
        <w:t>Genming</w:t>
      </w:r>
      <w:proofErr w:type="spellEnd"/>
      <w:r w:rsidRPr="009322F7">
        <w:rPr>
          <w:rFonts w:ascii="Times New Roman" w:hAnsi="Times New Roman" w:cs="Times New Roman"/>
          <w:color w:val="000000"/>
          <w:sz w:val="22"/>
        </w:rPr>
        <w:t xml:space="preserve"> Zhao</w:t>
      </w:r>
      <w:r w:rsidRPr="009F30A0">
        <w:rPr>
          <w:rFonts w:ascii="Times New Roman" w:eastAsia="宋体" w:hAnsi="Times New Roman" w:cs="Times New Roman" w:hint="eastAsia"/>
          <w:color w:val="000000"/>
          <w:kern w:val="0"/>
          <w:sz w:val="22"/>
        </w:rPr>
        <w:t>)</w:t>
      </w:r>
    </w:p>
    <w:p w14:paraId="09BAD1D3" w14:textId="77777777" w:rsidR="00D23FD3" w:rsidRDefault="00D23FD3" w:rsidP="00D23FD3">
      <w:pPr>
        <w:adjustRightInd w:val="0"/>
        <w:snapToGrid w:val="0"/>
        <w:spacing w:line="300" w:lineRule="auto"/>
        <w:rPr>
          <w:rFonts w:ascii="Times New Roman" w:eastAsia="宋体" w:hAnsi="Times New Roman" w:cs="Times New Roman"/>
          <w:color w:val="000000"/>
          <w:kern w:val="0"/>
          <w:sz w:val="22"/>
        </w:rPr>
      </w:pPr>
      <w:r w:rsidRPr="00527611">
        <w:rPr>
          <w:rFonts w:ascii="Times New Roman" w:eastAsia="宋体" w:hAnsi="Times New Roman" w:cs="Times New Roman" w:hint="eastAsia"/>
          <w:color w:val="000000"/>
          <w:kern w:val="0"/>
          <w:sz w:val="22"/>
          <w:vertAlign w:val="superscript"/>
        </w:rPr>
        <w:t>1</w:t>
      </w:r>
      <w:r w:rsidRPr="00527611">
        <w:rPr>
          <w:rFonts w:ascii="Times New Roman" w:eastAsia="宋体" w:hAnsi="Times New Roman" w:cs="Times New Roman"/>
          <w:color w:val="000000"/>
          <w:kern w:val="0"/>
          <w:sz w:val="22"/>
          <w:vertAlign w:val="superscript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2"/>
        </w:rPr>
        <w:t>C</w:t>
      </w:r>
      <w:r w:rsidRPr="00527611">
        <w:rPr>
          <w:rFonts w:ascii="Times New Roman" w:eastAsia="宋体" w:hAnsi="Times New Roman" w:cs="Times New Roman"/>
          <w:color w:val="000000"/>
          <w:kern w:val="0"/>
          <w:sz w:val="22"/>
        </w:rPr>
        <w:t>ontributed equally to this work</w:t>
      </w:r>
    </w:p>
    <w:p w14:paraId="5F104379" w14:textId="77777777" w:rsidR="00D23FD3" w:rsidRPr="00273950" w:rsidRDefault="00D23FD3" w:rsidP="00D23FD3">
      <w:pPr>
        <w:adjustRightInd w:val="0"/>
        <w:snapToGrid w:val="0"/>
        <w:spacing w:line="300" w:lineRule="auto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 w:rsidRPr="00337059">
        <w:rPr>
          <w:rFonts w:ascii="Times New Roman" w:eastAsia="宋体" w:hAnsi="Times New Roman" w:cs="Times New Roman" w:hint="eastAsia"/>
          <w:b/>
          <w:bCs/>
          <w:color w:val="000000"/>
          <w:kern w:val="0"/>
          <w:sz w:val="24"/>
          <w:szCs w:val="24"/>
        </w:rPr>
        <w:t>Background</w:t>
      </w:r>
      <w:r>
        <w:rPr>
          <w:rFonts w:ascii="Times New Roman" w:eastAsia="宋体" w:hAnsi="Times New Roman" w:cs="Times New Roman" w:hint="eastAsia"/>
          <w:b/>
          <w:bCs/>
          <w:color w:val="000000"/>
          <w:kern w:val="0"/>
          <w:sz w:val="24"/>
          <w:szCs w:val="24"/>
        </w:rPr>
        <w:t xml:space="preserve">s: </w:t>
      </w:r>
      <w:r w:rsidRPr="0033705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Stroke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is the leading cause of years of life lost in China, </w:t>
      </w:r>
      <w:r w:rsidRPr="00D0234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with ischemic stroke (IS) being the predominant subtype.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The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incidence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of IS </w:t>
      </w:r>
      <w:r w:rsidRPr="00CF2843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continues to rise, posing a significant public health challenge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. M</w:t>
      </w:r>
      <w:r w:rsidRPr="00DA7FB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etabolomics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,</w:t>
      </w:r>
      <w:r w:rsidRPr="00DA7FB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as a tool for</w:t>
      </w:r>
      <w:r w:rsidRPr="00DA7FB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identify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ing</w:t>
      </w:r>
      <w:r w:rsidRPr="00DA7FB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ongoing biological activities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and </w:t>
      </w:r>
      <w:r w:rsidRPr="00DA7FB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disease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-related</w:t>
      </w:r>
      <w:r w:rsidRPr="00DA7FB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alterations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, has</w:t>
      </w:r>
      <w:r w:rsidRPr="00CF2843">
        <w:rPr>
          <w:rFonts w:hint="eastAsia"/>
        </w:rPr>
        <w:t xml:space="preserve"> </w:t>
      </w:r>
      <w:r w:rsidRPr="00CF2843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been applied in stroke research</w:t>
      </w:r>
      <w:r w:rsidRPr="00DA7FB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.</w:t>
      </w:r>
      <w:r w:rsidRPr="00DA7FB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 w:rsidRPr="00CF2843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However,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m</w:t>
      </w:r>
      <w:r w:rsidRPr="00DA7FB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ost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existing</w:t>
      </w:r>
      <w:r w:rsidRPr="00DA7FB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3E33A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metabolomic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s</w:t>
      </w:r>
      <w:r w:rsidRPr="003E33A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studies o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n</w:t>
      </w:r>
      <w:r w:rsidRPr="003E33A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stroke</w:t>
      </w:r>
      <w:r w:rsidRPr="00DA7FB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adopt</w:t>
      </w:r>
      <w:r w:rsidRPr="00DA7FB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a </w:t>
      </w:r>
      <w:r w:rsidRPr="00DA7FB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case-control design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.</w:t>
      </w:r>
      <w:r w:rsidRPr="00DA7FB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T</w:t>
      </w:r>
      <w:r w:rsidRPr="00483E6A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here is a scarcity of longitudinal data examining metabolic changes prior to the onset of IS in the Chinese population.</w:t>
      </w:r>
    </w:p>
    <w:p w14:paraId="0DF95F2A" w14:textId="77777777" w:rsidR="00D23FD3" w:rsidRPr="00DA7FB0" w:rsidRDefault="00D23FD3" w:rsidP="00D23FD3">
      <w:pPr>
        <w:adjustRightInd w:val="0"/>
        <w:snapToGrid w:val="0"/>
        <w:spacing w:line="300" w:lineRule="auto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684F4C">
        <w:rPr>
          <w:rFonts w:ascii="Times New Roman" w:eastAsia="宋体" w:hAnsi="Times New Roman" w:cs="Times New Roman" w:hint="eastAsia"/>
          <w:b/>
          <w:bCs/>
          <w:color w:val="000000"/>
          <w:kern w:val="0"/>
          <w:sz w:val="24"/>
          <w:szCs w:val="24"/>
        </w:rPr>
        <w:t>Objectives:</w:t>
      </w:r>
      <w:r w:rsidRPr="00F8238E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T</w:t>
      </w:r>
      <w:r w:rsidRPr="00D13BB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o prospectively investigate the role and alteration</w:t>
      </w:r>
      <w:r w:rsidRPr="00BF1E4B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 w:rsidRPr="00D13BB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of metabolites</w:t>
      </w:r>
      <w:r w:rsidRPr="00BF1E4B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 w:rsidRPr="009D31BB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in individuals who later develop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IS</w:t>
      </w:r>
      <w:r w:rsidRPr="009D31BB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compared to healthy controls,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and </w:t>
      </w:r>
      <w:r w:rsidRPr="00C538BC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to explore associated biological processes and pathway alterations that may precede the diagnosis of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IS</w:t>
      </w:r>
      <w:r w:rsidRPr="00C538BC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, thereby contributing to our understanding of the pathogenesis and potential early detection markers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 w:rsidRPr="009D31BB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using blood serum samples from the Shanghai Suburban Adult Cohort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Biobank (SSACB)</w:t>
      </w:r>
      <w:r w:rsidRPr="009D31BB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.</w:t>
      </w:r>
    </w:p>
    <w:p w14:paraId="32C47872" w14:textId="77777777" w:rsidR="00D23FD3" w:rsidRPr="00836283" w:rsidRDefault="00D23FD3" w:rsidP="00D23FD3">
      <w:pPr>
        <w:adjustRightInd w:val="0"/>
        <w:snapToGrid w:val="0"/>
        <w:spacing w:line="300" w:lineRule="auto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 w:rsidRPr="00472BF5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t>Methods</w:t>
      </w:r>
      <w:r>
        <w:rPr>
          <w:rFonts w:ascii="Times New Roman" w:eastAsia="宋体" w:hAnsi="Times New Roman" w:cs="Times New Roman" w:hint="eastAsia"/>
          <w:b/>
          <w:bCs/>
          <w:color w:val="000000"/>
          <w:kern w:val="0"/>
          <w:sz w:val="24"/>
          <w:szCs w:val="24"/>
        </w:rPr>
        <w:t xml:space="preserve">: </w:t>
      </w:r>
      <w:r w:rsidRPr="00997B6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Base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d </w:t>
      </w:r>
      <w:r w:rsidRPr="00997B6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on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a nested case-control design, 55 newly </w:t>
      </w:r>
      <w:r w:rsidRPr="00387A8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diagnosed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IS cases from </w:t>
      </w:r>
      <w:r w:rsidRPr="009D31BB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the Shanghai Suburban Adult Cohort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were randomly selected as the case group and 55 non-stroke participants were matched 1:1 according to age (</w:t>
      </w:r>
      <w:r w:rsidRPr="00387A8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±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1 year), gender (same) and follow-up time as the control group. T</w:t>
      </w:r>
      <w:r w:rsidRPr="00ED0E95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he incident IS cases were coded as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I60-I64</w:t>
      </w:r>
      <w:r w:rsidRPr="00ED0E95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according to the International Classification of Diseases, tenth revision (ICD-10)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and </w:t>
      </w:r>
      <w:r w:rsidRPr="00BF716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diagnos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e</w:t>
      </w:r>
      <w:r w:rsidRPr="00BF716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s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were</w:t>
      </w:r>
      <w:r w:rsidRPr="00BF716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confirmed by the staff from the department of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N</w:t>
      </w:r>
      <w:r w:rsidRPr="00BF716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on-communicable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D</w:t>
      </w:r>
      <w:r w:rsidRPr="00BF716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isease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s</w:t>
      </w:r>
      <w:r w:rsidRPr="00BF716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at the C</w:t>
      </w:r>
      <w:r w:rsidRPr="00172C3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enter for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D</w:t>
      </w:r>
      <w:r w:rsidRPr="00172C3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isease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C</w:t>
      </w:r>
      <w:r w:rsidRPr="00172C3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ontrol and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P</w:t>
      </w:r>
      <w:r w:rsidRPr="00172C3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revention</w:t>
      </w:r>
      <w:r w:rsidRPr="00BF716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. </w:t>
      </w:r>
      <w:r w:rsidRPr="005A394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Fasting blood serum samples were collected from the participants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during</w:t>
      </w:r>
      <w:r w:rsidRPr="005A394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the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5A394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baseline investigation.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T</w:t>
      </w:r>
      <w:r w:rsidRPr="005A394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he serum samples were </w:t>
      </w:r>
      <w:r w:rsidRPr="00204D6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stored at -80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204D69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°C</w:t>
      </w:r>
      <w:r w:rsidRPr="005A394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.</w:t>
      </w:r>
      <w:r w:rsidRPr="00E650CF">
        <w:rPr>
          <w:rFonts w:hint="eastAsia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T</w:t>
      </w:r>
      <w:r w:rsidRPr="00E650C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he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u</w:t>
      </w:r>
      <w:r w:rsidRPr="00E650C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ltra-high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p</w:t>
      </w:r>
      <w:r w:rsidRPr="00E650C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erformance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</w:t>
      </w:r>
      <w:r w:rsidRPr="00E650C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iquid chromatography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-tandem </w:t>
      </w:r>
      <w:r w:rsidRPr="00E650C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mass spectrometry </w:t>
      </w:r>
      <w:r w:rsidRPr="00F7574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(UHPLC-MS/MS)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E650C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technique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was used for non-targeted metabolomics detection. The</w:t>
      </w:r>
      <w:r w:rsidRPr="00DE57A5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fold change (FC) value between the groups for each metabolite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was </w:t>
      </w:r>
      <w:r w:rsidRPr="00F7574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calculated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.</w:t>
      </w:r>
      <w:r w:rsidRPr="00DE57A5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The p</w:t>
      </w:r>
      <w:r w:rsidRPr="003A61A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-value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s</w:t>
      </w:r>
      <w:r w:rsidRPr="003A61A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w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ere</w:t>
      </w:r>
      <w:r w:rsidRPr="003A61A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F7574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determined using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s</w:t>
      </w:r>
      <w:r w:rsidRPr="003A61A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tudent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’</w:t>
      </w:r>
      <w:r w:rsidRPr="003A61A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s t-test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. T</w:t>
      </w:r>
      <w:r w:rsidRPr="003A61A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o </w:t>
      </w:r>
      <w:r w:rsidRPr="003A61A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lastRenderedPageBreak/>
        <w:t>control the F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alse </w:t>
      </w:r>
      <w:r w:rsidRPr="003A61A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D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iscovery </w:t>
      </w:r>
      <w:r w:rsidRPr="003A61A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R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ate (FDR),</w:t>
      </w:r>
      <w:r w:rsidRPr="003A61A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F92B7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q-value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s</w:t>
      </w:r>
      <w:r w:rsidRPr="00F92B7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(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FDR-</w:t>
      </w:r>
      <w:r w:rsidRPr="00F92B7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corrected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F92B7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p-value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s</w:t>
      </w:r>
      <w:r w:rsidRPr="00F92B7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) </w:t>
      </w:r>
      <w:r w:rsidRPr="003A61A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w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ere</w:t>
      </w:r>
      <w:r w:rsidRPr="003A61A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calculated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using the</w:t>
      </w:r>
      <w:r w:rsidRPr="003A61A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Benjamini-Hochberg procedure. </w:t>
      </w:r>
      <w:r w:rsidRPr="0032389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P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rincipal </w:t>
      </w:r>
      <w:r w:rsidRPr="0032389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C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omponent </w:t>
      </w:r>
      <w:r w:rsidRPr="0032389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A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nalysis</w:t>
      </w:r>
      <w:r w:rsidRPr="0032389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(PCA) was </w:t>
      </w:r>
      <w:r w:rsidRPr="0032389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performed to assess the stability of the quality control (QC) samples and to visualize the metabolic separations across the IS cases, controls, and QC samples.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T</w:t>
      </w:r>
      <w:r w:rsidRPr="0032389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he P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artial </w:t>
      </w:r>
      <w:r w:rsidRPr="0032389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east </w:t>
      </w:r>
      <w:r w:rsidRPr="0032389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S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quares </w:t>
      </w:r>
      <w:r w:rsidRPr="0032389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D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iscrimination </w:t>
      </w:r>
      <w:r w:rsidRPr="0032389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A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nalysis</w:t>
      </w:r>
      <w:r w:rsidRPr="0032389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(PLS-DA) </w:t>
      </w:r>
      <w:r w:rsidRPr="00DD3D4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was conducted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to</w:t>
      </w:r>
      <w:r w:rsidRPr="0032389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observe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the</w:t>
      </w:r>
      <w:r w:rsidRPr="0032389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separation between the IS case and non-stroke control groups. The </w:t>
      </w:r>
      <w:r w:rsidRPr="00DD3D4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Orthogonal Partial Least Squares-Discriminant Analysis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(</w:t>
      </w:r>
      <w:r w:rsidRPr="0032389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OPLS-DA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)</w:t>
      </w:r>
      <w:r w:rsidRPr="0032389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model was applied to characterize the metabolic disturbances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,</w:t>
      </w:r>
      <w:r w:rsidRPr="0032389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and</w:t>
      </w:r>
      <w:r w:rsidRPr="0032389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the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Variable Influence on Projection (</w:t>
      </w:r>
      <w:r w:rsidRPr="0032389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VIP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)</w:t>
      </w:r>
      <w:r w:rsidRPr="0032389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index</w:t>
      </w:r>
      <w:r w:rsidRPr="003011C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was </w:t>
      </w:r>
      <w:r w:rsidRPr="0032389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calculated.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A </w:t>
      </w:r>
      <w:r w:rsidRPr="00A55A3C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permutation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test was conducted to evaluate the goodness-of-fit</w:t>
      </w:r>
      <w:r w:rsidRPr="00DD3D47">
        <w:rPr>
          <w:rFonts w:hint="eastAsia"/>
        </w:rPr>
        <w:t xml:space="preserve"> </w:t>
      </w:r>
      <w:r w:rsidRPr="00DD3D4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of the OPLS-DA model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. Significant metabolites were screened according to the following criteria: </w:t>
      </w:r>
      <w:r w:rsidRPr="00F92B7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VIP &gt; 1, p-value &lt; 0.05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,</w:t>
      </w:r>
      <w:r w:rsidRPr="00F92B7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q-value &lt; 0.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</w:t>
      </w:r>
      <w:r w:rsidRPr="00F92B7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and FC &gt; 1.2 or FC &lt; 0.83. Using the Kyoto Encyclopedia of Genes and Genomes (KEGG) database, significantly altered metabolites were mapped into biochemical pathways in which they participate. Pathways with a number of metabolite hits </w:t>
      </w:r>
      <w:r w:rsidRPr="003F2E9E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≥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1 and a hypergeometric distribution p-value &lt; 0.05 are considered to be disturbed abnormal metabolic pathways.</w:t>
      </w:r>
    </w:p>
    <w:p w14:paraId="364D6B02" w14:textId="77777777" w:rsidR="00D23FD3" w:rsidRPr="008372A9" w:rsidRDefault="00D23FD3" w:rsidP="00D23FD3">
      <w:pPr>
        <w:adjustRightInd w:val="0"/>
        <w:snapToGrid w:val="0"/>
        <w:spacing w:line="300" w:lineRule="auto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B86D7B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t>Results</w:t>
      </w:r>
      <w:r>
        <w:rPr>
          <w:rFonts w:ascii="Times New Roman" w:eastAsia="宋体" w:hAnsi="Times New Roman" w:cs="Times New Roman" w:hint="eastAsia"/>
          <w:b/>
          <w:bCs/>
          <w:color w:val="000000"/>
          <w:kern w:val="0"/>
          <w:sz w:val="24"/>
          <w:szCs w:val="24"/>
        </w:rPr>
        <w:t xml:space="preserve">: </w:t>
      </w:r>
      <w:r w:rsidRPr="001B70F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Of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the 110</w:t>
      </w:r>
      <w:r w:rsidRPr="001B70F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participants,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1B70F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the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IS</w:t>
      </w:r>
      <w:r w:rsidRPr="001B70F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cases </w:t>
      </w:r>
      <w:r w:rsidRPr="001B70F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and the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healthy</w:t>
      </w:r>
      <w:r w:rsidRPr="001B70F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controls were comparable in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terms of </w:t>
      </w:r>
      <w:r w:rsidRPr="001B70F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age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,</w:t>
      </w:r>
      <w:r w:rsidRPr="001B70F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gender, e</w:t>
      </w:r>
      <w:r w:rsidRPr="0099444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ducation level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and </w:t>
      </w:r>
      <w:r w:rsidRPr="00C3181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retirement status</w:t>
      </w:r>
      <w:r w:rsidRPr="001B70F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.</w:t>
      </w:r>
      <w:r w:rsidRPr="00C3181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440B8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Compared to the control group, the case group had a higher proportion of individuals who were overweight or obese, and a higher proportion with hypertension, hyperlipidemia, and hyperglycemia.</w:t>
      </w:r>
      <w:r>
        <w:rPr>
          <w:rFonts w:ascii="Times New Roman" w:eastAsia="宋体" w:hAnsi="Times New Roman" w:cs="Times New Roman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A total of </w:t>
      </w:r>
      <w:r w:rsidRPr="00FB35B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3868 and 4207 peaks were identified under the positive and negative mode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s</w:t>
      </w:r>
      <w:r w:rsidRPr="00FB35B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, respectively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.</w:t>
      </w:r>
      <w:r w:rsidRPr="00FB35B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Out of these, </w:t>
      </w:r>
      <w:r w:rsidRPr="00FB35B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456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peaks were matched to secondary substance names</w:t>
      </w:r>
      <w:r w:rsidRPr="00FB35B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(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with an</w:t>
      </w:r>
      <w:r w:rsidRPr="00FB35B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annotation cut-off value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of</w:t>
      </w:r>
      <w:r w:rsidRPr="00FB35B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was 0.7)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.</w:t>
      </w:r>
      <w:r w:rsidRPr="0021438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Among these, 203 (44.52%) metabolites were </w:t>
      </w:r>
      <w:r w:rsidRPr="006775C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categorized as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l</w:t>
      </w:r>
      <w:r w:rsidRPr="0021438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ipids and lipid-like molecules</w:t>
      </w:r>
      <w:r w:rsidRPr="00FB35B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.</w:t>
      </w:r>
      <w:r w:rsidRPr="00374E7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F92B7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Using the criteri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a for screening differential metabolites, a total of</w:t>
      </w:r>
      <w:r w:rsidRPr="00F92B7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22</w:t>
      </w:r>
      <w:r w:rsidRPr="00F92B7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7501D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significantly expressed metabolites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were identified. </w:t>
      </w:r>
      <w:r w:rsidRPr="006775C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Specifically,</w:t>
      </w:r>
      <w:r w:rsidRPr="007501D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7917F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L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-</w:t>
      </w:r>
      <w:r w:rsidRPr="007917F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Fucose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and </w:t>
      </w:r>
      <w:r w:rsidRPr="007917F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PC(P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-</w:t>
      </w:r>
      <w:r w:rsidRPr="007917F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18:0/14:0)</w:t>
      </w:r>
      <w:r w:rsidRPr="007917F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7501D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showed a downward trend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 w:rsidRPr="006775C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whereas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D-Glucose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L-Malic acid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L-Phenylalanine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3-Hydroxybutyric acid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N-Acetyl-L-phenylalanine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Kynurenic acid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Pyrrolidonecarboxylic acid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L-Valine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proofErr w:type="spellStart"/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Vinylacetylglycine</w:t>
      </w:r>
      <w:proofErr w:type="spellEnd"/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L-</w:t>
      </w:r>
      <w:proofErr w:type="spellStart"/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Norleucine</w:t>
      </w:r>
      <w:proofErr w:type="spellEnd"/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N-Formyl-L-glutamic acid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N-</w:t>
      </w:r>
      <w:proofErr w:type="spellStart"/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Acetylglutamine</w:t>
      </w:r>
      <w:proofErr w:type="spellEnd"/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PC(22:1(13Z)/14:1(9Z))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Benzoyl glucuronide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proofErr w:type="spellStart"/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Trimethylaminoacetone</w:t>
      </w:r>
      <w:proofErr w:type="spellEnd"/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D-1-Amino-2-pyrrolidinecarboxylic acid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Triethanolamine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2,6-Di-tert-butyl-4-methylphenol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6-Deoxyfagomine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and </w:t>
      </w:r>
      <w:proofErr w:type="spellStart"/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Oxoglutaric</w:t>
      </w:r>
      <w:proofErr w:type="spellEnd"/>
      <w:r w:rsidRPr="008372A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acid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were up-regulated in the case group</w:t>
      </w:r>
      <w:r w:rsidRPr="004935E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.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Among all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the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pathways enriched</w:t>
      </w:r>
      <w:r w:rsidRPr="004935E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g</w:t>
      </w:r>
      <w:r w:rsidRPr="00E2470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luconeogenesis</w:t>
      </w:r>
      <w:r w:rsidRPr="004935E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metabolism was the most significant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abnormal</w:t>
      </w:r>
      <w:r w:rsidRPr="004935E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pathway, with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3</w:t>
      </w:r>
      <w:r w:rsidRPr="004935E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hits matched in the pathway. Additionally,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the m</w:t>
      </w:r>
      <w:r w:rsidRPr="00E2470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alate-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a</w:t>
      </w:r>
      <w:r w:rsidRPr="00E2470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spartate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s</w:t>
      </w:r>
      <w:r w:rsidRPr="00E2470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huttle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, g</w:t>
      </w:r>
      <w:r w:rsidRPr="00E2470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lucose-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a</w:t>
      </w:r>
      <w:r w:rsidRPr="00E2470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lanine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c</w:t>
      </w:r>
      <w:r w:rsidRPr="00E2470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ycle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 w:rsidRPr="00E2470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Warburg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e</w:t>
      </w:r>
      <w:r w:rsidRPr="00E2470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ffect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, t</w:t>
      </w:r>
      <w:r w:rsidRPr="00E2470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ransfer of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a</w:t>
      </w:r>
      <w:r w:rsidRPr="00E2470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cetyl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g</w:t>
      </w:r>
      <w:r w:rsidRPr="00E2470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roups into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m</w:t>
      </w:r>
      <w:r w:rsidRPr="00E2470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itochondria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, p</w:t>
      </w:r>
      <w:r w:rsidRPr="00E2470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henylalanine and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t</w:t>
      </w:r>
      <w:r w:rsidRPr="00E2470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yrosine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m</w:t>
      </w:r>
      <w:r w:rsidRPr="00E2470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etabolism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, and c</w:t>
      </w:r>
      <w:r w:rsidRPr="00E2470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itric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a</w:t>
      </w:r>
      <w:r w:rsidRPr="00E2470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cid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c</w:t>
      </w:r>
      <w:r w:rsidRPr="00E2470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ycle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4935E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were also disturbed pathways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,</w:t>
      </w:r>
      <w:r w:rsidRPr="004935E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with a p-value &lt; 0.05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and</w:t>
      </w:r>
      <w:r w:rsidRPr="004935E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with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 or 3</w:t>
      </w:r>
      <w:r w:rsidRPr="004935E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hit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s</w:t>
      </w:r>
      <w:r w:rsidRPr="004935E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matched.</w:t>
      </w:r>
    </w:p>
    <w:p w14:paraId="530EEB0A" w14:textId="77777777" w:rsidR="00D23FD3" w:rsidRDefault="00D23FD3" w:rsidP="00D23FD3">
      <w:pPr>
        <w:adjustRightInd w:val="0"/>
        <w:snapToGrid w:val="0"/>
        <w:spacing w:line="300" w:lineRule="auto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 w:rsidRPr="00326240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t>Conclusions</w:t>
      </w:r>
      <w:r>
        <w:rPr>
          <w:rFonts w:ascii="Times New Roman" w:eastAsia="宋体" w:hAnsi="Times New Roman" w:cs="Times New Roman" w:hint="eastAsia"/>
          <w:b/>
          <w:bCs/>
          <w:color w:val="000000"/>
          <w:kern w:val="0"/>
          <w:sz w:val="24"/>
          <w:szCs w:val="24"/>
        </w:rPr>
        <w:t>:</w:t>
      </w:r>
      <w:r w:rsidRPr="006775CF">
        <w:rPr>
          <w:rFonts w:hint="eastAsia"/>
        </w:rPr>
        <w:t xml:space="preserve"> </w:t>
      </w:r>
      <w:r w:rsidRPr="009743E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This prospective study revealed significant metabolic changes preceding the onset of ischemic stroke. Twenty-two metabolites were differentially expressed in cases compared to controls. Gluconeogenesis was the most significantly altered pathway, suggesting a key role for glucose metabolism in early IS development.</w:t>
      </w:r>
    </w:p>
    <w:p w14:paraId="7E5BCB20" w14:textId="77777777" w:rsidR="00D23FD3" w:rsidRPr="00E15188" w:rsidRDefault="00D23FD3" w:rsidP="00D23FD3">
      <w:pPr>
        <w:adjustRightInd w:val="0"/>
        <w:snapToGrid w:val="0"/>
        <w:spacing w:line="300" w:lineRule="auto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color w:val="000000"/>
          <w:kern w:val="0"/>
          <w:sz w:val="24"/>
          <w:szCs w:val="24"/>
        </w:rPr>
        <w:lastRenderedPageBreak/>
        <w:t>Keywords:</w:t>
      </w:r>
      <w:r w:rsidRPr="006219EE">
        <w:t xml:space="preserve"> </w:t>
      </w:r>
      <w:r w:rsidRPr="006219EE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Ischemic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s</w:t>
      </w:r>
      <w:r w:rsidRPr="006219EE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troke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; </w:t>
      </w:r>
      <w:r w:rsidRPr="006219EE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metabolomics;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527C1F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nested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527C1F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case-control study</w:t>
      </w:r>
    </w:p>
    <w:p w14:paraId="228C8B6E" w14:textId="77777777" w:rsidR="00D23FD3" w:rsidRDefault="00D23FD3" w:rsidP="00D23FD3">
      <w:pPr>
        <w:adjustRightInd w:val="0"/>
        <w:snapToGrid w:val="0"/>
        <w:spacing w:line="300" w:lineRule="auto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 w:val="24"/>
          <w:szCs w:val="24"/>
        </w:rPr>
        <w:lastRenderedPageBreak/>
        <w:drawing>
          <wp:inline distT="0" distB="0" distL="0" distR="0" wp14:anchorId="630E4052" wp14:editId="34C67D41">
            <wp:extent cx="5274310" cy="8790305"/>
            <wp:effectExtent l="0" t="0" r="2540" b="0"/>
            <wp:docPr id="11647336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733618" name="图片 116473361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790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3CD9C" w14:textId="095719E5" w:rsidR="004124D4" w:rsidRDefault="00D23FD3" w:rsidP="00D23FD3">
      <w:r w:rsidRPr="007A6025">
        <w:rPr>
          <w:rFonts w:ascii="Times New Roman" w:eastAsia="宋体" w:hAnsi="Times New Roman" w:cs="Times New Roman" w:hint="eastAsia"/>
          <w:b/>
          <w:bCs/>
          <w:color w:val="000000"/>
          <w:kern w:val="0"/>
          <w:szCs w:val="21"/>
        </w:rPr>
        <w:lastRenderedPageBreak/>
        <w:t>Figure</w:t>
      </w:r>
      <w:r>
        <w:rPr>
          <w:rFonts w:ascii="Times New Roman" w:eastAsia="宋体" w:hAnsi="Times New Roman" w:cs="Times New Roman" w:hint="eastAsia"/>
          <w:b/>
          <w:bCs/>
          <w:color w:val="000000"/>
          <w:kern w:val="0"/>
          <w:szCs w:val="21"/>
        </w:rPr>
        <w:t xml:space="preserve"> 1</w:t>
      </w:r>
      <w:r w:rsidRPr="007A6025">
        <w:rPr>
          <w:rFonts w:ascii="Times New Roman" w:eastAsia="宋体" w:hAnsi="Times New Roman" w:cs="Times New Roman" w:hint="eastAsia"/>
          <w:b/>
          <w:bCs/>
          <w:color w:val="000000"/>
          <w:kern w:val="0"/>
          <w:szCs w:val="21"/>
        </w:rPr>
        <w:t>.</w:t>
      </w:r>
      <w:r w:rsidRPr="007A602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Relative abundance of 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22</w:t>
      </w:r>
      <w:r w:rsidRPr="007A602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significantly changed metabolites across the groups (the relative expressed values were compared using a 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s</w:t>
      </w:r>
      <w:r w:rsidRPr="007A602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tudent</w:t>
      </w:r>
      <w:r w:rsidRPr="007A602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r w:rsidRPr="007A602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s t-test). Data are the normalized values by log-transformation and UV scaling. The presented box shows the 25th and 75th percentiles. The horizontal line represents the mean values of each metabolite. p &lt; 0.05, *; 0.001 &lt; p &lt; 0.01, **; 0.0001 &lt;p &lt; 0.001, ***; p &lt; 0.0001, ****. Abbreviation: PC: Phosphatidylcholi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ne</w:t>
      </w:r>
    </w:p>
    <w:sectPr w:rsidR="004124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B97C2" w14:textId="77777777" w:rsidR="00470BCF" w:rsidRDefault="00470BCF" w:rsidP="00470BCF">
      <w:r>
        <w:separator/>
      </w:r>
    </w:p>
  </w:endnote>
  <w:endnote w:type="continuationSeparator" w:id="0">
    <w:p w14:paraId="0F02D70E" w14:textId="77777777" w:rsidR="00470BCF" w:rsidRDefault="00470BCF" w:rsidP="00470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DF760" w14:textId="77777777" w:rsidR="00470BCF" w:rsidRDefault="00470BCF" w:rsidP="00470BCF">
      <w:r>
        <w:separator/>
      </w:r>
    </w:p>
  </w:footnote>
  <w:footnote w:type="continuationSeparator" w:id="0">
    <w:p w14:paraId="7A323859" w14:textId="77777777" w:rsidR="00470BCF" w:rsidRDefault="00470BCF" w:rsidP="00470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a0NLQwMTAwMbEwNjBU0lEKTi0uzszPAykwrAUAzz/5DiwAAAA="/>
  </w:docVars>
  <w:rsids>
    <w:rsidRoot w:val="00E522B3"/>
    <w:rsid w:val="000D1DF5"/>
    <w:rsid w:val="00217044"/>
    <w:rsid w:val="00296F9A"/>
    <w:rsid w:val="004124D4"/>
    <w:rsid w:val="00470BCF"/>
    <w:rsid w:val="004F7001"/>
    <w:rsid w:val="00504B97"/>
    <w:rsid w:val="00556144"/>
    <w:rsid w:val="00794623"/>
    <w:rsid w:val="0094693A"/>
    <w:rsid w:val="00AC343F"/>
    <w:rsid w:val="00D23FD3"/>
    <w:rsid w:val="00E522B3"/>
    <w:rsid w:val="00F9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77028A"/>
  <w15:chartTrackingRefBased/>
  <w15:docId w15:val="{02DDD3D1-9B80-4AD7-BD5B-8DA2B94F4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FD3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0B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70BC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70B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70B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1012</Words>
  <Characters>5774</Characters>
  <Application>Microsoft Office Word</Application>
  <DocSecurity>0</DocSecurity>
  <Lines>48</Lines>
  <Paragraphs>13</Paragraphs>
  <ScaleCrop>false</ScaleCrop>
  <Company/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丽萍 伊</dc:creator>
  <cp:keywords/>
  <dc:description/>
  <cp:lastModifiedBy>Yuting Han</cp:lastModifiedBy>
  <cp:revision>32</cp:revision>
  <dcterms:created xsi:type="dcterms:W3CDTF">2024-08-12T07:29:00Z</dcterms:created>
  <dcterms:modified xsi:type="dcterms:W3CDTF">2024-10-12T07:33:00Z</dcterms:modified>
</cp:coreProperties>
</file>